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5BE9" w14:textId="2DFCE62A" w:rsidR="00E26A0E" w:rsidRPr="00197057" w:rsidRDefault="000C1666">
      <w:pPr>
        <w:rPr>
          <w:b/>
        </w:rPr>
      </w:pPr>
      <w:r w:rsidRPr="00197057">
        <w:rPr>
          <w:b/>
        </w:rPr>
        <w:t xml:space="preserve">PPBC Meeting minutes, </w:t>
      </w:r>
      <w:r w:rsidR="005F4C6D">
        <w:rPr>
          <w:b/>
        </w:rPr>
        <w:t>5/2</w:t>
      </w:r>
      <w:r w:rsidRPr="00197057">
        <w:rPr>
          <w:b/>
        </w:rPr>
        <w:t>/201</w:t>
      </w:r>
      <w:r w:rsidR="00942D37">
        <w:rPr>
          <w:b/>
        </w:rPr>
        <w:t>9</w:t>
      </w:r>
    </w:p>
    <w:p w14:paraId="07FF300E" w14:textId="55E6B25C" w:rsidR="00F47C74" w:rsidRDefault="000C1666">
      <w:r w:rsidRPr="00197057">
        <w:rPr>
          <w:b/>
        </w:rPr>
        <w:t>Present</w:t>
      </w:r>
      <w:r>
        <w:t xml:space="preserve">: </w:t>
      </w:r>
      <w:r w:rsidR="00B67D10">
        <w:t xml:space="preserve">Deb Donovan (chair), </w:t>
      </w:r>
      <w:r w:rsidR="00C213EA">
        <w:t>John Gilbertson</w:t>
      </w:r>
      <w:r w:rsidR="00197057">
        <w:t>, Steve McDowell, Takele</w:t>
      </w:r>
      <w:r>
        <w:t xml:space="preserve"> Seda, </w:t>
      </w:r>
      <w:r w:rsidR="00942D37">
        <w:t>Andy Klein</w:t>
      </w:r>
      <w:r w:rsidR="00A12015">
        <w:t xml:space="preserve">, </w:t>
      </w:r>
      <w:r>
        <w:t>Pete Ste</w:t>
      </w:r>
      <w:r w:rsidR="00B67D10">
        <w:t>lling</w:t>
      </w:r>
      <w:r w:rsidR="00942D37">
        <w:t xml:space="preserve"> (scribe)</w:t>
      </w:r>
      <w:r w:rsidR="00014588">
        <w:t>, Ben Miner (Assoc. Dean)</w:t>
      </w:r>
      <w:r w:rsidR="005F4C6D">
        <w:t xml:space="preserve">, Tonya </w:t>
      </w:r>
      <w:r w:rsidR="00290253">
        <w:t>Alexander</w:t>
      </w:r>
      <w:r w:rsidR="00A125F5">
        <w:t xml:space="preserve"> (Operations Manager, CSE)</w:t>
      </w:r>
      <w:r w:rsidR="00F47C74">
        <w:t>.</w:t>
      </w:r>
    </w:p>
    <w:p w14:paraId="4B9ACF79" w14:textId="1D658D58" w:rsidR="00A81609" w:rsidRPr="00A81609" w:rsidRDefault="007A59CC">
      <w:pPr>
        <w:rPr>
          <w:b/>
        </w:rPr>
      </w:pPr>
      <w:r>
        <w:rPr>
          <w:b/>
        </w:rPr>
        <w:t xml:space="preserve">Minutes from last meeting </w:t>
      </w:r>
    </w:p>
    <w:p w14:paraId="7C93479F" w14:textId="5BA65BEF" w:rsidR="00942D37" w:rsidRPr="001E2147" w:rsidRDefault="005F4C6D" w:rsidP="001E2147">
      <w:pPr>
        <w:pStyle w:val="ListParagraph"/>
        <w:numPr>
          <w:ilvl w:val="0"/>
          <w:numId w:val="1"/>
        </w:numPr>
      </w:pPr>
      <w:r>
        <w:t xml:space="preserve">Vote postponed due to email snafu that didn’t allow members to pre-read minutes.  </w:t>
      </w:r>
      <w:r w:rsidR="00942D37">
        <w:t xml:space="preserve">  </w:t>
      </w:r>
    </w:p>
    <w:p w14:paraId="4351208C" w14:textId="265517D7" w:rsidR="008E0165" w:rsidRDefault="00B03B15" w:rsidP="005B386C">
      <w:pPr>
        <w:rPr>
          <w:b/>
        </w:rPr>
      </w:pPr>
      <w:r>
        <w:rPr>
          <w:b/>
        </w:rPr>
        <w:t>Notes</w:t>
      </w:r>
    </w:p>
    <w:p w14:paraId="4546F8D5" w14:textId="41B6F60B" w:rsidR="00F70D65" w:rsidRPr="00F70D65" w:rsidRDefault="00666D8B" w:rsidP="005B386C">
      <w:r>
        <w:t xml:space="preserve">On </w:t>
      </w:r>
      <w:r w:rsidR="00F70D65">
        <w:t xml:space="preserve">May 9, Kendra Sharp </w:t>
      </w:r>
      <w:r>
        <w:t>(Professor of Humanitarian Engineering from Oregon State University) will be visiting</w:t>
      </w:r>
      <w:r w:rsidR="00F70D65">
        <w:t xml:space="preserve"> to discuss EID </w:t>
      </w:r>
      <w:r>
        <w:t>policies and procedures at OSU.  The OSU CO-PEP-equivalent has been a model for the CSE EID discussion and documentation.</w:t>
      </w:r>
      <w:r w:rsidR="00F70D65">
        <w:t xml:space="preserve">  </w:t>
      </w:r>
      <w:r>
        <w:t xml:space="preserve">PPBC </w:t>
      </w:r>
      <w:r w:rsidR="00F70D65">
        <w:t>will meet</w:t>
      </w:r>
      <w:r>
        <w:t xml:space="preserve"> with Dr. Sharp</w:t>
      </w:r>
      <w:r w:rsidR="00F70D65">
        <w:t xml:space="preserve"> </w:t>
      </w:r>
      <w:r w:rsidR="00290253">
        <w:t>next Thursday (</w:t>
      </w:r>
      <w:r w:rsidR="00F70D65">
        <w:t xml:space="preserve">an </w:t>
      </w:r>
      <w:r w:rsidR="00290253">
        <w:t>off week for PPBC) from 8:30-9:00 in Haggard Hall 345</w:t>
      </w:r>
      <w:r w:rsidR="00F70D65">
        <w:t xml:space="preserve">.  Format of meeting is TBD.  </w:t>
      </w:r>
    </w:p>
    <w:p w14:paraId="331F16B1" w14:textId="229748A8" w:rsidR="00F70D65" w:rsidRDefault="00F70D65" w:rsidP="005B386C">
      <w:pPr>
        <w:rPr>
          <w:b/>
        </w:rPr>
      </w:pPr>
    </w:p>
    <w:p w14:paraId="20CB1745" w14:textId="2309D538" w:rsidR="005F4C6D" w:rsidRDefault="005F4C6D" w:rsidP="005B386C">
      <w:pPr>
        <w:rPr>
          <w:b/>
        </w:rPr>
      </w:pPr>
      <w:r>
        <w:rPr>
          <w:b/>
        </w:rPr>
        <w:t>CSE Budget presentation (Tonya)</w:t>
      </w:r>
    </w:p>
    <w:p w14:paraId="4B459B49" w14:textId="157FEA89" w:rsidR="00290253" w:rsidRPr="00290253" w:rsidRDefault="00290253" w:rsidP="005B386C">
      <w:r>
        <w:t>Tonya presented an annual financial snapshot and update for CSE revenue, spending and budgets.  This is normally done in the fall, but Tonya generously presented today at the request of PPBC</w:t>
      </w:r>
    </w:p>
    <w:p w14:paraId="39B3B168" w14:textId="6BA882BF" w:rsidR="005F4C6D" w:rsidRDefault="00290253" w:rsidP="005F4C6D">
      <w:pPr>
        <w:pStyle w:val="ListParagraph"/>
        <w:numPr>
          <w:ilvl w:val="0"/>
          <w:numId w:val="1"/>
        </w:numPr>
      </w:pPr>
      <w:r w:rsidRPr="00653B22">
        <w:rPr>
          <w:u w:val="single"/>
        </w:rPr>
        <w:t>Overall budget</w:t>
      </w:r>
      <w:r>
        <w:t xml:space="preserve"> for CSE is </w:t>
      </w:r>
      <w:r w:rsidR="005F4C6D">
        <w:t>~</w:t>
      </w:r>
      <w:r>
        <w:t>19.9</w:t>
      </w:r>
      <w:r w:rsidR="005F4C6D">
        <w:t xml:space="preserve"> M, mostly in salary and benefits.  </w:t>
      </w:r>
      <w:r>
        <w:t>This d</w:t>
      </w:r>
      <w:r w:rsidR="005F4C6D">
        <w:t xml:space="preserve">oesn’t include departmental operating </w:t>
      </w:r>
      <w:r>
        <w:t>money</w:t>
      </w:r>
      <w:r w:rsidR="005F4C6D">
        <w:t>, scholarships, etc.</w:t>
      </w:r>
    </w:p>
    <w:p w14:paraId="47179692" w14:textId="4CD814F5" w:rsidR="005F4C6D" w:rsidRDefault="00E35FA6" w:rsidP="00653B22">
      <w:pPr>
        <w:pStyle w:val="ListParagraph"/>
        <w:numPr>
          <w:ilvl w:val="1"/>
          <w:numId w:val="1"/>
        </w:numPr>
      </w:pPr>
      <w:r>
        <w:t xml:space="preserve">CSE budget is separated into four </w:t>
      </w:r>
      <w:r w:rsidR="003B0297">
        <w:t xml:space="preserve">types of </w:t>
      </w:r>
      <w:r w:rsidR="00C71D79">
        <w:t>funds</w:t>
      </w:r>
      <w:r>
        <w:t xml:space="preserve">: </w:t>
      </w:r>
      <w:r w:rsidR="005F4C6D">
        <w:t xml:space="preserve">Operating, foundation, </w:t>
      </w:r>
      <w:r w:rsidR="00084BCB">
        <w:t xml:space="preserve">self-sustaining, Carry forward.  Carry forward and self-sustaining are two largest portions and are about equal.  </w:t>
      </w:r>
      <w:r>
        <w:t xml:space="preserve">Because we are late in the fiscal year, the </w:t>
      </w:r>
      <w:r w:rsidR="00084BCB">
        <w:t xml:space="preserve">Operating </w:t>
      </w:r>
      <w:r>
        <w:t xml:space="preserve">budget </w:t>
      </w:r>
      <w:r w:rsidR="00084BCB">
        <w:t>is currently in spend-down phase, so is lower than typical.</w:t>
      </w:r>
    </w:p>
    <w:p w14:paraId="51325A24" w14:textId="11E4B758" w:rsidR="006D0448" w:rsidRDefault="00E35FA6" w:rsidP="006D0448">
      <w:pPr>
        <w:pStyle w:val="ListParagraph"/>
        <w:numPr>
          <w:ilvl w:val="0"/>
          <w:numId w:val="1"/>
        </w:numPr>
      </w:pPr>
      <w:r w:rsidRPr="00653B22">
        <w:rPr>
          <w:u w:val="single"/>
        </w:rPr>
        <w:t>Indirect Cost Recovery</w:t>
      </w:r>
      <w:r>
        <w:t xml:space="preserve">: </w:t>
      </w:r>
      <w:r w:rsidR="006D0448">
        <w:t xml:space="preserve">CSE IDCR levels have recovered from pre-recession levels (2007).  IDCR funds are allocated 75% to the department that generated the funds and 25% to CSE.  Overall, this budget is a minor component of the CSE budget (FY18 was $120K total; ~$30K to each department).  </w:t>
      </w:r>
      <w:r w:rsidR="00653B22">
        <w:t>This money is used, in part, to fund faculty travel</w:t>
      </w:r>
      <w:r w:rsidR="003B0297">
        <w:t xml:space="preserve"> and startup for new TT hires.</w:t>
      </w:r>
    </w:p>
    <w:p w14:paraId="77C2F039" w14:textId="2094AFC5" w:rsidR="00084BCB" w:rsidRDefault="00084BCB" w:rsidP="00EC198D">
      <w:pPr>
        <w:pStyle w:val="ListParagraph"/>
        <w:numPr>
          <w:ilvl w:val="0"/>
          <w:numId w:val="1"/>
        </w:numPr>
      </w:pPr>
      <w:r w:rsidRPr="00653B22">
        <w:rPr>
          <w:u w:val="single"/>
        </w:rPr>
        <w:t>Summer session</w:t>
      </w:r>
      <w:r>
        <w:t xml:space="preserve"> revenue is </w:t>
      </w:r>
      <w:r w:rsidR="006D0448">
        <w:t xml:space="preserve">continuing a downward trend </w:t>
      </w:r>
      <w:r>
        <w:t xml:space="preserve">since </w:t>
      </w:r>
      <w:r w:rsidR="006D0448">
        <w:t>its peak in FY</w:t>
      </w:r>
      <w:r>
        <w:t xml:space="preserve">15.  </w:t>
      </w:r>
      <w:r w:rsidR="006D0448">
        <w:t xml:space="preserve">This is in part </w:t>
      </w:r>
      <w:r>
        <w:t xml:space="preserve">due to </w:t>
      </w:r>
      <w:r w:rsidR="006D0448">
        <w:t>re-arrangement of the summer session faculty payment structure in the CBA</w:t>
      </w:r>
      <w:r>
        <w:t xml:space="preserve">.   </w:t>
      </w:r>
      <w:r w:rsidR="00EC198D">
        <w:t xml:space="preserve">All summer session revenue </w:t>
      </w:r>
      <w:r w:rsidR="00653B22">
        <w:t xml:space="preserve">goes to CSE and is largely used to fund startup for new </w:t>
      </w:r>
      <w:r w:rsidR="003B0297">
        <w:t xml:space="preserve">TT </w:t>
      </w:r>
      <w:r w:rsidR="00653B22">
        <w:t>hires</w:t>
      </w:r>
      <w:r w:rsidR="00EC198D">
        <w:t>.</w:t>
      </w:r>
    </w:p>
    <w:p w14:paraId="602D6802" w14:textId="4ED2A5E8" w:rsidR="00EC198D" w:rsidRDefault="00EC198D" w:rsidP="00EC198D">
      <w:pPr>
        <w:pStyle w:val="ListParagraph"/>
        <w:numPr>
          <w:ilvl w:val="0"/>
          <w:numId w:val="1"/>
        </w:numPr>
      </w:pPr>
      <w:r w:rsidRPr="00653B22">
        <w:rPr>
          <w:u w:val="single"/>
        </w:rPr>
        <w:t>Travel spending</w:t>
      </w:r>
      <w:r>
        <w:t xml:space="preserve">:  </w:t>
      </w:r>
      <w:r w:rsidR="003B0297">
        <w:t>Per the CBA, b</w:t>
      </w:r>
      <w:r w:rsidR="00653B22">
        <w:t xml:space="preserve">ased on an allowance of $1000 for each TT/TN and $500 for each NTT, the </w:t>
      </w:r>
      <w:r>
        <w:t xml:space="preserve">total </w:t>
      </w:r>
      <w:r w:rsidR="00653B22">
        <w:t xml:space="preserve">minimum </w:t>
      </w:r>
      <w:r w:rsidR="003B0297">
        <w:t xml:space="preserve">budget </w:t>
      </w:r>
      <w:r w:rsidR="00653B22">
        <w:t>amount that need</w:t>
      </w:r>
      <w:r w:rsidR="003B0297">
        <w:t>ed</w:t>
      </w:r>
      <w:r w:rsidR="00653B22">
        <w:t xml:space="preserve"> to be available for travel </w:t>
      </w:r>
      <w:r w:rsidR="003B0297">
        <w:t>was</w:t>
      </w:r>
      <w:r w:rsidR="00653B22">
        <w:t xml:space="preserve"> </w:t>
      </w:r>
      <w:r>
        <w:t xml:space="preserve">$152K </w:t>
      </w:r>
      <w:r w:rsidR="003B0297">
        <w:t>for FY18.</w:t>
      </w:r>
    </w:p>
    <w:p w14:paraId="00B9B05D" w14:textId="4745859A" w:rsidR="00EC198D" w:rsidRDefault="00EC198D" w:rsidP="00EC198D">
      <w:pPr>
        <w:pStyle w:val="ListParagraph"/>
        <w:numPr>
          <w:ilvl w:val="1"/>
          <w:numId w:val="1"/>
        </w:numPr>
      </w:pPr>
      <w:r>
        <w:t>This require</w:t>
      </w:r>
      <w:r w:rsidR="00321ED3">
        <w:t>d</w:t>
      </w:r>
      <w:r>
        <w:t xml:space="preserve"> $88K of additional funds beyond IDC</w:t>
      </w:r>
      <w:r w:rsidR="00321ED3">
        <w:t>R</w:t>
      </w:r>
      <w:r>
        <w:t xml:space="preserve"> for FY18</w:t>
      </w:r>
    </w:p>
    <w:p w14:paraId="0FAE22B1" w14:textId="59B4FA50" w:rsidR="00EC198D" w:rsidRDefault="00653B22" w:rsidP="00EC198D">
      <w:pPr>
        <w:pStyle w:val="ListParagraph"/>
        <w:numPr>
          <w:ilvl w:val="1"/>
          <w:numId w:val="1"/>
        </w:numPr>
      </w:pPr>
      <w:r>
        <w:t xml:space="preserve">For FY16-18 (and presumably FY19) </w:t>
      </w:r>
      <w:r w:rsidR="00EC198D">
        <w:t xml:space="preserve">CSE </w:t>
      </w:r>
      <w:r>
        <w:t>has been</w:t>
      </w:r>
      <w:r w:rsidR="00EC198D">
        <w:t xml:space="preserve"> able to provide more </w:t>
      </w:r>
      <w:r>
        <w:t xml:space="preserve">travel </w:t>
      </w:r>
      <w:r w:rsidR="00EC198D">
        <w:t xml:space="preserve">funding than the minimum </w:t>
      </w:r>
      <w:r>
        <w:t>pool</w:t>
      </w:r>
      <w:r w:rsidR="00E6562B">
        <w:t xml:space="preserve"> </w:t>
      </w:r>
    </w:p>
    <w:p w14:paraId="2C3D2E60" w14:textId="02338336" w:rsidR="00E6562B" w:rsidRDefault="00653B22" w:rsidP="00EC198D">
      <w:pPr>
        <w:pStyle w:val="ListParagraph"/>
        <w:numPr>
          <w:ilvl w:val="1"/>
          <w:numId w:val="1"/>
        </w:numPr>
      </w:pPr>
      <w:r>
        <w:t xml:space="preserve">FY18: </w:t>
      </w:r>
      <w:r w:rsidR="00E6562B">
        <w:t xml:space="preserve">Of 126 TT/TN faculty in CSE, 72 </w:t>
      </w:r>
      <w:r w:rsidR="00321ED3">
        <w:t xml:space="preserve">(57%) </w:t>
      </w:r>
      <w:r w:rsidR="00E6562B">
        <w:t xml:space="preserve">were funded for travel. 62 </w:t>
      </w:r>
      <w:r w:rsidR="00321ED3">
        <w:t xml:space="preserve">(49%) </w:t>
      </w:r>
      <w:r w:rsidR="00E6562B">
        <w:t xml:space="preserve">were funded for </w:t>
      </w:r>
      <w:r w:rsidR="00407A66">
        <w:t>second</w:t>
      </w:r>
      <w:r w:rsidR="00E6562B">
        <w:t xml:space="preserve"> trips</w:t>
      </w:r>
      <w:r w:rsidR="00407A66">
        <w:t xml:space="preserve"> per the current CSE travel policy guidelines.</w:t>
      </w:r>
    </w:p>
    <w:p w14:paraId="3FB53D43" w14:textId="6D6FC0B9" w:rsidR="00E6562B" w:rsidRDefault="00E6562B" w:rsidP="00E6562B">
      <w:pPr>
        <w:pStyle w:val="ListParagraph"/>
        <w:numPr>
          <w:ilvl w:val="0"/>
          <w:numId w:val="1"/>
        </w:numPr>
      </w:pPr>
      <w:r>
        <w:t>Workstation replacement program</w:t>
      </w:r>
    </w:p>
    <w:p w14:paraId="73417968" w14:textId="2368D9C7" w:rsidR="00E6562B" w:rsidRDefault="00E6562B" w:rsidP="00E6562B">
      <w:pPr>
        <w:pStyle w:val="ListParagraph"/>
        <w:numPr>
          <w:ilvl w:val="1"/>
          <w:numId w:val="1"/>
        </w:numPr>
      </w:pPr>
      <w:r>
        <w:t xml:space="preserve">Changes have been made this year </w:t>
      </w:r>
      <w:r w:rsidR="00407A66">
        <w:t xml:space="preserve">and FY19 purchasing cycle is still in process so final program report is not available but will be provided in the </w:t>
      </w:r>
      <w:proofErr w:type="gramStart"/>
      <w:r w:rsidR="00407A66">
        <w:t>Fall</w:t>
      </w:r>
      <w:proofErr w:type="gramEnd"/>
      <w:r w:rsidR="00407A66">
        <w:t>.</w:t>
      </w:r>
    </w:p>
    <w:p w14:paraId="4F05AFF6" w14:textId="2C306229" w:rsidR="00321ED3" w:rsidRDefault="00321ED3" w:rsidP="00321ED3">
      <w:pPr>
        <w:pStyle w:val="ListParagraph"/>
        <w:numPr>
          <w:ilvl w:val="2"/>
          <w:numId w:val="1"/>
        </w:numPr>
      </w:pPr>
      <w:r>
        <w:lastRenderedPageBreak/>
        <w:t>New model is to encourage faculty to defer replacement and receive an additional $200 for eventual workstation replacement</w:t>
      </w:r>
    </w:p>
    <w:p w14:paraId="254BE28C" w14:textId="0B76EDB0" w:rsidR="00E6562B" w:rsidRDefault="00321ED3" w:rsidP="00E6562B">
      <w:pPr>
        <w:pStyle w:val="ListParagraph"/>
        <w:numPr>
          <w:ilvl w:val="1"/>
          <w:numId w:val="1"/>
        </w:numPr>
      </w:pPr>
      <w:r>
        <w:t xml:space="preserve">The Workstation Replacement Program costs </w:t>
      </w:r>
      <w:r w:rsidR="00E6562B">
        <w:t>~$40-60K annually</w:t>
      </w:r>
      <w:r w:rsidR="007B6DF1">
        <w:t xml:space="preserve"> (assuming $1600/station)</w:t>
      </w:r>
      <w:r>
        <w:t xml:space="preserve">.  Of this, </w:t>
      </w:r>
      <w:r w:rsidR="00E6562B">
        <w:t>$17K comes from provost’s office</w:t>
      </w:r>
      <w:r>
        <w:t xml:space="preserve"> and </w:t>
      </w:r>
      <w:r w:rsidR="00E6562B">
        <w:t>CSE picks up the rest (from self-sustaining)</w:t>
      </w:r>
    </w:p>
    <w:p w14:paraId="70694216" w14:textId="7D8198E7" w:rsidR="007B6DF1" w:rsidRPr="00BF193B" w:rsidRDefault="007B6DF1" w:rsidP="007B6DF1">
      <w:pPr>
        <w:pStyle w:val="ListParagraph"/>
        <w:numPr>
          <w:ilvl w:val="0"/>
          <w:numId w:val="1"/>
        </w:numPr>
        <w:rPr>
          <w:u w:val="single"/>
        </w:rPr>
      </w:pPr>
      <w:r w:rsidRPr="00BF193B">
        <w:rPr>
          <w:u w:val="single"/>
        </w:rPr>
        <w:t>Hiring</w:t>
      </w:r>
    </w:p>
    <w:p w14:paraId="4239CE29" w14:textId="77777777" w:rsidR="00BF193B" w:rsidRDefault="00BF193B" w:rsidP="007B6DF1">
      <w:pPr>
        <w:pStyle w:val="ListParagraph"/>
        <w:numPr>
          <w:ilvl w:val="1"/>
          <w:numId w:val="1"/>
        </w:numPr>
      </w:pPr>
      <w:r>
        <w:t>FY18</w:t>
      </w:r>
      <w:r w:rsidR="00321ED3">
        <w:t xml:space="preserve">: </w:t>
      </w:r>
    </w:p>
    <w:p w14:paraId="6FD3CA6E" w14:textId="193931D7" w:rsidR="007B6DF1" w:rsidRDefault="007B6DF1" w:rsidP="00BF193B">
      <w:pPr>
        <w:pStyle w:val="ListParagraph"/>
        <w:numPr>
          <w:ilvl w:val="2"/>
          <w:numId w:val="1"/>
        </w:numPr>
      </w:pPr>
      <w:r>
        <w:t>15 searches, 13 successful</w:t>
      </w:r>
      <w:r w:rsidR="00BF193B">
        <w:t xml:space="preserve"> (this is on the high end)</w:t>
      </w:r>
    </w:p>
    <w:p w14:paraId="6CB8537E" w14:textId="11CD080E" w:rsidR="007B6DF1" w:rsidRDefault="007B6DF1" w:rsidP="00BF193B">
      <w:pPr>
        <w:pStyle w:val="ListParagraph"/>
        <w:numPr>
          <w:ilvl w:val="2"/>
          <w:numId w:val="1"/>
        </w:numPr>
      </w:pPr>
      <w:r>
        <w:t xml:space="preserve">Four </w:t>
      </w:r>
      <w:r w:rsidR="005F278A">
        <w:t>diversity searches, three were successful</w:t>
      </w:r>
    </w:p>
    <w:p w14:paraId="01BAC413" w14:textId="3B16A8E2" w:rsidR="005F278A" w:rsidRDefault="005F278A" w:rsidP="00BF193B">
      <w:pPr>
        <w:pStyle w:val="ListParagraph"/>
        <w:numPr>
          <w:ilvl w:val="2"/>
          <w:numId w:val="1"/>
        </w:numPr>
      </w:pPr>
      <w:r>
        <w:t>Threes opportunity hires</w:t>
      </w:r>
      <w:r w:rsidR="00321ED3">
        <w:t xml:space="preserve"> (o</w:t>
      </w:r>
      <w:r>
        <w:t>pportunity searches do not require an external search</w:t>
      </w:r>
      <w:r w:rsidR="00321ED3">
        <w:t>)</w:t>
      </w:r>
      <w:r>
        <w:t xml:space="preserve">  </w:t>
      </w:r>
    </w:p>
    <w:p w14:paraId="7704BD43" w14:textId="3AFEFAAC" w:rsidR="005F278A" w:rsidRDefault="005F278A" w:rsidP="00BF193B">
      <w:pPr>
        <w:pStyle w:val="ListParagraph"/>
        <w:numPr>
          <w:ilvl w:val="2"/>
          <w:numId w:val="1"/>
        </w:numPr>
      </w:pPr>
      <w:r>
        <w:t xml:space="preserve">One Emergent needs position </w:t>
      </w:r>
      <w:r w:rsidR="00321ED3">
        <w:t>funded</w:t>
      </w:r>
    </w:p>
    <w:p w14:paraId="7E8A7D06" w14:textId="6ED069C2" w:rsidR="005F072D" w:rsidRDefault="005F072D" w:rsidP="00BF193B">
      <w:pPr>
        <w:pStyle w:val="ListParagraph"/>
        <w:numPr>
          <w:ilvl w:val="2"/>
          <w:numId w:val="1"/>
        </w:numPr>
      </w:pPr>
      <w:r>
        <w:t>One hire from converting NTT funds to TT line.  This is rare</w:t>
      </w:r>
      <w:r w:rsidR="00407A66">
        <w:t xml:space="preserve"> due to current demands on NTT funding</w:t>
      </w:r>
      <w:r>
        <w:t>.</w:t>
      </w:r>
    </w:p>
    <w:p w14:paraId="4E27F90B" w14:textId="77777777" w:rsidR="00CE7B46" w:rsidRDefault="00CE7B46" w:rsidP="007B6DF1">
      <w:pPr>
        <w:pStyle w:val="ListParagraph"/>
        <w:numPr>
          <w:ilvl w:val="1"/>
          <w:numId w:val="1"/>
        </w:numPr>
      </w:pPr>
      <w:r>
        <w:t>FY 2019</w:t>
      </w:r>
    </w:p>
    <w:p w14:paraId="69BD8A1F" w14:textId="2E175EF5" w:rsidR="005F072D" w:rsidRDefault="005F072D" w:rsidP="00CE7B46">
      <w:pPr>
        <w:pStyle w:val="ListParagraph"/>
        <w:numPr>
          <w:ilvl w:val="2"/>
          <w:numId w:val="1"/>
        </w:numPr>
      </w:pPr>
      <w:r>
        <w:t>13 TT searches, 7 hires</w:t>
      </w:r>
      <w:r w:rsidR="00BF193B">
        <w:t xml:space="preserve"> (this is on the low end)</w:t>
      </w:r>
    </w:p>
    <w:p w14:paraId="3C4375C5" w14:textId="183C1E79" w:rsidR="00CE7B46" w:rsidRDefault="00BF193B" w:rsidP="00CE7B46">
      <w:pPr>
        <w:pStyle w:val="ListParagraph"/>
        <w:numPr>
          <w:ilvl w:val="2"/>
          <w:numId w:val="1"/>
        </w:numPr>
      </w:pPr>
      <w:r>
        <w:t>All departments except Biology had at least one search, most had multiple searches</w:t>
      </w:r>
    </w:p>
    <w:p w14:paraId="744C4AE5" w14:textId="35294ABF" w:rsidR="00CE7B46" w:rsidRDefault="00CE7B46" w:rsidP="00CE7B46">
      <w:pPr>
        <w:pStyle w:val="ListParagraph"/>
        <w:numPr>
          <w:ilvl w:val="1"/>
          <w:numId w:val="1"/>
        </w:numPr>
      </w:pPr>
      <w:r>
        <w:t>Pressure on Self-sustaining budget from TT hires</w:t>
      </w:r>
    </w:p>
    <w:p w14:paraId="00D32840" w14:textId="77777777" w:rsidR="00BF193B" w:rsidRDefault="00BF193B" w:rsidP="00CE7B46">
      <w:pPr>
        <w:pStyle w:val="ListParagraph"/>
        <w:numPr>
          <w:ilvl w:val="2"/>
          <w:numId w:val="1"/>
        </w:numPr>
      </w:pPr>
      <w:r>
        <w:t xml:space="preserve">Funding for searches comes from self-sustaining budget. </w:t>
      </w:r>
    </w:p>
    <w:p w14:paraId="0C254BF2" w14:textId="08856728" w:rsidR="00CE7B46" w:rsidRDefault="00CE7B46" w:rsidP="00CE7B46">
      <w:pPr>
        <w:pStyle w:val="ListParagraph"/>
        <w:numPr>
          <w:ilvl w:val="2"/>
          <w:numId w:val="1"/>
        </w:numPr>
      </w:pPr>
      <w:r>
        <w:t>Each search is ~7K each</w:t>
      </w:r>
    </w:p>
    <w:p w14:paraId="16C3E930" w14:textId="384B48B2" w:rsidR="00CE7B46" w:rsidRDefault="00BF193B" w:rsidP="00CE7B46">
      <w:pPr>
        <w:pStyle w:val="ListParagraph"/>
        <w:numPr>
          <w:ilvl w:val="2"/>
          <w:numId w:val="1"/>
        </w:numPr>
      </w:pPr>
      <w:r>
        <w:t>Over the last five</w:t>
      </w:r>
      <w:r w:rsidR="00CE7B46">
        <w:t xml:space="preserve"> years</w:t>
      </w:r>
      <w:r>
        <w:t xml:space="preserve"> CSE had</w:t>
      </w:r>
      <w:r w:rsidR="00CE7B46">
        <w:t xml:space="preserve"> 59 searches and 43 hires</w:t>
      </w:r>
      <w:r>
        <w:t xml:space="preserve"> (</w:t>
      </w:r>
      <w:r w:rsidR="00D509B1">
        <w:t xml:space="preserve">representing </w:t>
      </w:r>
      <w:r>
        <w:t>about $413K</w:t>
      </w:r>
      <w:r w:rsidR="00D509B1">
        <w:t xml:space="preserve"> in search related expenses</w:t>
      </w:r>
      <w:r>
        <w:t>)</w:t>
      </w:r>
    </w:p>
    <w:p w14:paraId="06E1866E" w14:textId="08777DFD" w:rsidR="00CE7B46" w:rsidRDefault="00BF193B" w:rsidP="00CE7B46">
      <w:pPr>
        <w:pStyle w:val="ListParagraph"/>
        <w:numPr>
          <w:ilvl w:val="2"/>
          <w:numId w:val="1"/>
        </w:numPr>
      </w:pPr>
      <w:r>
        <w:t>The CSE cost for s</w:t>
      </w:r>
      <w:r w:rsidR="00CE7B46">
        <w:t xml:space="preserve">tartup packages </w:t>
      </w:r>
      <w:r>
        <w:t xml:space="preserve">has been </w:t>
      </w:r>
      <w:r w:rsidR="00CE7B46">
        <w:t>~$440K total each FY (</w:t>
      </w:r>
      <w:r w:rsidR="00D509B1">
        <w:t xml:space="preserve">this is in addition to </w:t>
      </w:r>
      <w:r>
        <w:t>Provost, others contribut</w:t>
      </w:r>
      <w:r w:rsidR="000E13C5">
        <w:t>ions</w:t>
      </w:r>
      <w:r>
        <w:t xml:space="preserve"> as well</w:t>
      </w:r>
      <w:r w:rsidR="00CE7B46">
        <w:t>)</w:t>
      </w:r>
    </w:p>
    <w:p w14:paraId="2E90CD4D" w14:textId="428C0C26" w:rsidR="00980438" w:rsidRDefault="00980438" w:rsidP="00CE7B46">
      <w:pPr>
        <w:pStyle w:val="ListParagraph"/>
        <w:numPr>
          <w:ilvl w:val="2"/>
          <w:numId w:val="1"/>
        </w:numPr>
      </w:pPr>
      <w:r>
        <w:t xml:space="preserve">Nearly all funding </w:t>
      </w:r>
      <w:r w:rsidR="00BF193B">
        <w:t xml:space="preserve">from self-sustaining </w:t>
      </w:r>
      <w:r>
        <w:t xml:space="preserve">has been allocated, so </w:t>
      </w:r>
      <w:r w:rsidR="00BF193B">
        <w:t xml:space="preserve">there is </w:t>
      </w:r>
      <w:r>
        <w:t>very little cushion present now</w:t>
      </w:r>
    </w:p>
    <w:p w14:paraId="3FF69B4D" w14:textId="17AF8960" w:rsidR="00980438" w:rsidRPr="00C05853" w:rsidRDefault="00980438" w:rsidP="00980438">
      <w:pPr>
        <w:pStyle w:val="ListParagraph"/>
        <w:numPr>
          <w:ilvl w:val="0"/>
          <w:numId w:val="1"/>
        </w:numPr>
        <w:rPr>
          <w:u w:val="single"/>
        </w:rPr>
      </w:pPr>
      <w:r w:rsidRPr="00C05853">
        <w:rPr>
          <w:u w:val="single"/>
        </w:rPr>
        <w:t>Main budget concerns</w:t>
      </w:r>
    </w:p>
    <w:p w14:paraId="1FE8E418" w14:textId="77777777" w:rsidR="00C70753" w:rsidRDefault="00980438" w:rsidP="00C70753">
      <w:pPr>
        <w:pStyle w:val="ListParagraph"/>
        <w:numPr>
          <w:ilvl w:val="1"/>
          <w:numId w:val="1"/>
        </w:numPr>
      </w:pPr>
      <w:r>
        <w:t>No significant operating budget increases since before 2012</w:t>
      </w:r>
    </w:p>
    <w:p w14:paraId="159DCE4B" w14:textId="2E081874" w:rsidR="00980438" w:rsidRDefault="007E25BB" w:rsidP="00980438">
      <w:pPr>
        <w:pStyle w:val="ListParagraph"/>
        <w:numPr>
          <w:ilvl w:val="1"/>
          <w:numId w:val="1"/>
        </w:numPr>
      </w:pPr>
      <w:r>
        <w:t>The exception we received in FY17 $65K increase in permanent base operating from STEM decision package dollars (from Provost) which was divided approximately 75% to dept. operating budgets @ $5215 each and 25% retained by CSE.</w:t>
      </w:r>
      <w:r w:rsidR="00980438">
        <w:t>NTT base budget shortfall</w:t>
      </w:r>
    </w:p>
    <w:p w14:paraId="324AD55F" w14:textId="6D7B88E7" w:rsidR="00980438" w:rsidRDefault="00C05853" w:rsidP="00980438">
      <w:pPr>
        <w:pStyle w:val="ListParagraph"/>
        <w:numPr>
          <w:ilvl w:val="2"/>
          <w:numId w:val="1"/>
        </w:numPr>
      </w:pPr>
      <w:r>
        <w:t xml:space="preserve">Annually, </w:t>
      </w:r>
      <w:r w:rsidR="00980438">
        <w:t>CSE spends</w:t>
      </w:r>
      <w:r>
        <w:t xml:space="preserve"> ~$3.0M on NTT, but the pool is only ~$1.</w:t>
      </w:r>
      <w:r w:rsidR="007E25BB">
        <w:t>8</w:t>
      </w:r>
      <w:r>
        <w:t xml:space="preserve">M, amounting to a </w:t>
      </w:r>
      <w:r w:rsidR="00980438">
        <w:t xml:space="preserve"> $1</w:t>
      </w:r>
      <w:r>
        <w:t>.</w:t>
      </w:r>
      <w:r w:rsidR="007E25BB">
        <w:t>2</w:t>
      </w:r>
      <w:r w:rsidR="00980438">
        <w:t xml:space="preserve">M </w:t>
      </w:r>
      <w:r>
        <w:t>shortfall</w:t>
      </w:r>
      <w:r w:rsidR="00980438">
        <w:t xml:space="preserve"> </w:t>
      </w:r>
    </w:p>
    <w:p w14:paraId="5145ECE1" w14:textId="3FF7B977" w:rsidR="00942602" w:rsidRDefault="00980438" w:rsidP="00980438">
      <w:pPr>
        <w:pStyle w:val="ListParagraph"/>
        <w:numPr>
          <w:ilvl w:val="2"/>
          <w:numId w:val="1"/>
        </w:numPr>
      </w:pPr>
      <w:r>
        <w:t xml:space="preserve">Shortfall is </w:t>
      </w:r>
      <w:r w:rsidR="007E25BB">
        <w:t>mainly</w:t>
      </w:r>
      <w:r>
        <w:t xml:space="preserve"> covered by faculty </w:t>
      </w:r>
      <w:r w:rsidR="007E25BB">
        <w:t xml:space="preserve">grant </w:t>
      </w:r>
      <w:r>
        <w:t xml:space="preserve">buyouts, reduced appointment savings from retiring TN </w:t>
      </w:r>
      <w:r w:rsidR="00942602">
        <w:t>faculty</w:t>
      </w:r>
      <w:r w:rsidR="00C05853">
        <w:t>, and other non-recurring events</w:t>
      </w:r>
      <w:r>
        <w:t>.</w:t>
      </w:r>
    </w:p>
    <w:p w14:paraId="432BA2D4" w14:textId="24E7B16C" w:rsidR="005F4C6D" w:rsidRPr="00C70753" w:rsidRDefault="00223207" w:rsidP="005B386C">
      <w:pPr>
        <w:rPr>
          <w:b/>
        </w:rPr>
      </w:pPr>
      <w:r w:rsidRPr="00C70753">
        <w:rPr>
          <w:b/>
        </w:rPr>
        <w:t>Scholarship concerns:</w:t>
      </w:r>
    </w:p>
    <w:p w14:paraId="678E3494" w14:textId="160090EF" w:rsidR="00223207" w:rsidRPr="005F4C6D" w:rsidRDefault="00223207" w:rsidP="005B386C">
      <w:r>
        <w:t xml:space="preserve">Concerns about short timeline (2 days) for </w:t>
      </w:r>
      <w:r w:rsidR="00C71D79">
        <w:t xml:space="preserve">notification about CSE scholarships, which has resulted in a scramble for students and for </w:t>
      </w:r>
      <w:r>
        <w:t>letter of reference</w:t>
      </w:r>
      <w:r w:rsidR="00C71D79">
        <w:t xml:space="preserve"> writers</w:t>
      </w:r>
      <w:r>
        <w:t xml:space="preserve">.  </w:t>
      </w:r>
      <w:r w:rsidR="00C71D79">
        <w:t>The Associate Dean, who is the contact person for CSE scholarships, indicated that the notification went out to department chairs several weeks ago.   The t</w:t>
      </w:r>
      <w:r>
        <w:t xml:space="preserve">imeline </w:t>
      </w:r>
      <w:r w:rsidR="00C71D79">
        <w:t xml:space="preserve">crunch </w:t>
      </w:r>
      <w:r>
        <w:t>likely stems from department</w:t>
      </w:r>
      <w:r w:rsidR="00A125F5">
        <w:t>al</w:t>
      </w:r>
      <w:r w:rsidR="00C71D79">
        <w:t xml:space="preserve"> communication</w:t>
      </w:r>
      <w:r>
        <w:t xml:space="preserve">, not </w:t>
      </w:r>
      <w:r w:rsidR="00C71D79">
        <w:t xml:space="preserve">from </w:t>
      </w:r>
      <w:r>
        <w:t>CSE</w:t>
      </w:r>
      <w:r w:rsidR="00A125F5">
        <w:t xml:space="preserve">, </w:t>
      </w:r>
      <w:r w:rsidR="00C71D79">
        <w:t>although there were some email snafus</w:t>
      </w:r>
      <w:r w:rsidR="00A125F5">
        <w:t xml:space="preserve"> that could have exacerbated the issue.</w:t>
      </w:r>
    </w:p>
    <w:p w14:paraId="71F83012" w14:textId="5C625484" w:rsidR="00F21CEA" w:rsidRPr="00F67FA2" w:rsidRDefault="00F21CEA" w:rsidP="005B386C">
      <w:pPr>
        <w:rPr>
          <w:b/>
        </w:rPr>
      </w:pPr>
      <w:bookmarkStart w:id="0" w:name="_GoBack"/>
      <w:bookmarkEnd w:id="0"/>
      <w:r w:rsidRPr="00F67FA2">
        <w:rPr>
          <w:b/>
        </w:rPr>
        <w:lastRenderedPageBreak/>
        <w:t>Process of moratorium</w:t>
      </w:r>
    </w:p>
    <w:p w14:paraId="3F19B05A" w14:textId="5FF55660" w:rsidR="004865AD" w:rsidRDefault="00A125F5" w:rsidP="005B386C">
      <w:r>
        <w:t>Discussion of revised procedures for placing a program into moratorium was on the agenda for today, but due to email snafus, most committee members were not able to review these prior to the meeting.  This discussion will be postponed to the next regular meeting.</w:t>
      </w:r>
    </w:p>
    <w:p w14:paraId="2F5B6318" w14:textId="77777777" w:rsidR="00A125F5" w:rsidRDefault="00A125F5" w:rsidP="005B386C"/>
    <w:p w14:paraId="54867524" w14:textId="0054A9A0" w:rsidR="00290CA8" w:rsidRDefault="00FB3A29" w:rsidP="005B386C">
      <w:r>
        <w:t>Meeting a</w:t>
      </w:r>
      <w:r w:rsidR="00A87E0F">
        <w:t>djo</w:t>
      </w:r>
      <w:r w:rsidR="00290CA8">
        <w:t xml:space="preserve">urned </w:t>
      </w:r>
      <w:r w:rsidR="00226902">
        <w:t>9</w:t>
      </w:r>
      <w:r w:rsidR="00203B32">
        <w:t>:</w:t>
      </w:r>
      <w:r w:rsidR="002A3D1D">
        <w:t>39</w:t>
      </w:r>
      <w:r w:rsidR="00290CA8">
        <w:t xml:space="preserve"> am</w:t>
      </w:r>
    </w:p>
    <w:sectPr w:rsidR="0029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3303"/>
    <w:multiLevelType w:val="hybridMultilevel"/>
    <w:tmpl w:val="F8709842"/>
    <w:lvl w:ilvl="0" w:tplc="1A86D5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F7E43"/>
    <w:multiLevelType w:val="hybridMultilevel"/>
    <w:tmpl w:val="5B4CF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66"/>
    <w:rsid w:val="00003069"/>
    <w:rsid w:val="00014588"/>
    <w:rsid w:val="00027250"/>
    <w:rsid w:val="000415B4"/>
    <w:rsid w:val="00060C20"/>
    <w:rsid w:val="00062D48"/>
    <w:rsid w:val="00084BCB"/>
    <w:rsid w:val="000C1666"/>
    <w:rsid w:val="000C5D0B"/>
    <w:rsid w:val="000E13C5"/>
    <w:rsid w:val="001036CD"/>
    <w:rsid w:val="00115C74"/>
    <w:rsid w:val="00115FA1"/>
    <w:rsid w:val="00132266"/>
    <w:rsid w:val="00161EA4"/>
    <w:rsid w:val="00172968"/>
    <w:rsid w:val="00173C20"/>
    <w:rsid w:val="00194FA8"/>
    <w:rsid w:val="00197057"/>
    <w:rsid w:val="001E06BF"/>
    <w:rsid w:val="001E2147"/>
    <w:rsid w:val="001E4474"/>
    <w:rsid w:val="001E59F7"/>
    <w:rsid w:val="001E75A1"/>
    <w:rsid w:val="00203B32"/>
    <w:rsid w:val="002112BB"/>
    <w:rsid w:val="00223207"/>
    <w:rsid w:val="00224A5D"/>
    <w:rsid w:val="002268B0"/>
    <w:rsid w:val="00226902"/>
    <w:rsid w:val="00254A7F"/>
    <w:rsid w:val="002613F1"/>
    <w:rsid w:val="00281C68"/>
    <w:rsid w:val="00290253"/>
    <w:rsid w:val="00290CA8"/>
    <w:rsid w:val="002A3D1D"/>
    <w:rsid w:val="002A576C"/>
    <w:rsid w:val="002E5DEE"/>
    <w:rsid w:val="003061A2"/>
    <w:rsid w:val="00321ED3"/>
    <w:rsid w:val="00347DA7"/>
    <w:rsid w:val="003724B2"/>
    <w:rsid w:val="003813B5"/>
    <w:rsid w:val="00383316"/>
    <w:rsid w:val="00387D1B"/>
    <w:rsid w:val="003A0B7F"/>
    <w:rsid w:val="003A45A6"/>
    <w:rsid w:val="003A4F7D"/>
    <w:rsid w:val="003A5B3E"/>
    <w:rsid w:val="003A667A"/>
    <w:rsid w:val="003B0297"/>
    <w:rsid w:val="003B3E2B"/>
    <w:rsid w:val="003B4032"/>
    <w:rsid w:val="003D140D"/>
    <w:rsid w:val="003F091D"/>
    <w:rsid w:val="00400810"/>
    <w:rsid w:val="00407A66"/>
    <w:rsid w:val="004525B0"/>
    <w:rsid w:val="00454ABE"/>
    <w:rsid w:val="00463B9E"/>
    <w:rsid w:val="004865AD"/>
    <w:rsid w:val="00531B3E"/>
    <w:rsid w:val="00562F3B"/>
    <w:rsid w:val="00563204"/>
    <w:rsid w:val="00571BAE"/>
    <w:rsid w:val="00576B0C"/>
    <w:rsid w:val="00595CCF"/>
    <w:rsid w:val="005B0FD2"/>
    <w:rsid w:val="005B386C"/>
    <w:rsid w:val="005C1B75"/>
    <w:rsid w:val="005C1EB6"/>
    <w:rsid w:val="005D260B"/>
    <w:rsid w:val="005D5FB7"/>
    <w:rsid w:val="005F072D"/>
    <w:rsid w:val="005F278A"/>
    <w:rsid w:val="005F4C6D"/>
    <w:rsid w:val="00601074"/>
    <w:rsid w:val="00623054"/>
    <w:rsid w:val="00625BC0"/>
    <w:rsid w:val="00631E05"/>
    <w:rsid w:val="00653B22"/>
    <w:rsid w:val="006608B1"/>
    <w:rsid w:val="00666D8B"/>
    <w:rsid w:val="00675FE7"/>
    <w:rsid w:val="006A1318"/>
    <w:rsid w:val="006A69F4"/>
    <w:rsid w:val="006A777A"/>
    <w:rsid w:val="006B5EEB"/>
    <w:rsid w:val="006C71DE"/>
    <w:rsid w:val="006D0448"/>
    <w:rsid w:val="006D19B8"/>
    <w:rsid w:val="006D2CC5"/>
    <w:rsid w:val="006D3DFC"/>
    <w:rsid w:val="006E5972"/>
    <w:rsid w:val="006F0E25"/>
    <w:rsid w:val="00707D22"/>
    <w:rsid w:val="007574C6"/>
    <w:rsid w:val="0077593E"/>
    <w:rsid w:val="007A59CC"/>
    <w:rsid w:val="007A5AE0"/>
    <w:rsid w:val="007A67F4"/>
    <w:rsid w:val="007B6DF1"/>
    <w:rsid w:val="007E25BB"/>
    <w:rsid w:val="007E3E04"/>
    <w:rsid w:val="007F10D9"/>
    <w:rsid w:val="00814FE9"/>
    <w:rsid w:val="00830595"/>
    <w:rsid w:val="00831233"/>
    <w:rsid w:val="00844E04"/>
    <w:rsid w:val="00876E0D"/>
    <w:rsid w:val="008B793C"/>
    <w:rsid w:val="008C3447"/>
    <w:rsid w:val="008D5F5A"/>
    <w:rsid w:val="008E0165"/>
    <w:rsid w:val="008E3644"/>
    <w:rsid w:val="008F614B"/>
    <w:rsid w:val="00927C72"/>
    <w:rsid w:val="00942602"/>
    <w:rsid w:val="00942D37"/>
    <w:rsid w:val="00980438"/>
    <w:rsid w:val="009F1E3E"/>
    <w:rsid w:val="009F246D"/>
    <w:rsid w:val="00A12015"/>
    <w:rsid w:val="00A125F5"/>
    <w:rsid w:val="00A21BCA"/>
    <w:rsid w:val="00A7398C"/>
    <w:rsid w:val="00A80BA0"/>
    <w:rsid w:val="00A81609"/>
    <w:rsid w:val="00A84095"/>
    <w:rsid w:val="00A85F76"/>
    <w:rsid w:val="00A87E0F"/>
    <w:rsid w:val="00AE3582"/>
    <w:rsid w:val="00B03B15"/>
    <w:rsid w:val="00B040A1"/>
    <w:rsid w:val="00B13B14"/>
    <w:rsid w:val="00B14D74"/>
    <w:rsid w:val="00B20393"/>
    <w:rsid w:val="00B25280"/>
    <w:rsid w:val="00B63869"/>
    <w:rsid w:val="00B67D10"/>
    <w:rsid w:val="00B700C5"/>
    <w:rsid w:val="00BB0B65"/>
    <w:rsid w:val="00BB53B6"/>
    <w:rsid w:val="00BD5A5A"/>
    <w:rsid w:val="00BF16CA"/>
    <w:rsid w:val="00BF193B"/>
    <w:rsid w:val="00BF36B1"/>
    <w:rsid w:val="00BF57BB"/>
    <w:rsid w:val="00C05853"/>
    <w:rsid w:val="00C05A1F"/>
    <w:rsid w:val="00C15603"/>
    <w:rsid w:val="00C213EA"/>
    <w:rsid w:val="00C70753"/>
    <w:rsid w:val="00C71D79"/>
    <w:rsid w:val="00C84C25"/>
    <w:rsid w:val="00CA3EA7"/>
    <w:rsid w:val="00CD3F79"/>
    <w:rsid w:val="00CE7B46"/>
    <w:rsid w:val="00CF74E6"/>
    <w:rsid w:val="00D25B26"/>
    <w:rsid w:val="00D40A21"/>
    <w:rsid w:val="00D422ED"/>
    <w:rsid w:val="00D509B1"/>
    <w:rsid w:val="00D63607"/>
    <w:rsid w:val="00D75176"/>
    <w:rsid w:val="00D85794"/>
    <w:rsid w:val="00DB6057"/>
    <w:rsid w:val="00DE12F7"/>
    <w:rsid w:val="00DF51C0"/>
    <w:rsid w:val="00E072D4"/>
    <w:rsid w:val="00E22381"/>
    <w:rsid w:val="00E3078C"/>
    <w:rsid w:val="00E35FA6"/>
    <w:rsid w:val="00E45C6B"/>
    <w:rsid w:val="00E6562B"/>
    <w:rsid w:val="00E76FC4"/>
    <w:rsid w:val="00EC198D"/>
    <w:rsid w:val="00EC2955"/>
    <w:rsid w:val="00EF0667"/>
    <w:rsid w:val="00F146AD"/>
    <w:rsid w:val="00F14B9D"/>
    <w:rsid w:val="00F21CEA"/>
    <w:rsid w:val="00F342D7"/>
    <w:rsid w:val="00F47C74"/>
    <w:rsid w:val="00F560CC"/>
    <w:rsid w:val="00F563B7"/>
    <w:rsid w:val="00F67FA2"/>
    <w:rsid w:val="00F70D65"/>
    <w:rsid w:val="00F92E9D"/>
    <w:rsid w:val="00FB3A29"/>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28BD"/>
  <w15:chartTrackingRefBased/>
  <w15:docId w15:val="{90F362F4-5C31-4E8C-AD04-013391A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C0"/>
    <w:pPr>
      <w:ind w:left="720"/>
      <w:contextualSpacing/>
    </w:pPr>
  </w:style>
  <w:style w:type="paragraph" w:styleId="NormalWeb">
    <w:name w:val="Normal (Web)"/>
    <w:basedOn w:val="Normal"/>
    <w:uiPriority w:val="99"/>
    <w:semiHidden/>
    <w:unhideWhenUsed/>
    <w:rsid w:val="0019705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14FE9"/>
    <w:rPr>
      <w:sz w:val="16"/>
      <w:szCs w:val="16"/>
    </w:rPr>
  </w:style>
  <w:style w:type="paragraph" w:styleId="CommentText">
    <w:name w:val="annotation text"/>
    <w:basedOn w:val="Normal"/>
    <w:link w:val="CommentTextChar"/>
    <w:uiPriority w:val="99"/>
    <w:semiHidden/>
    <w:unhideWhenUsed/>
    <w:rsid w:val="00814FE9"/>
    <w:pPr>
      <w:spacing w:line="240" w:lineRule="auto"/>
    </w:pPr>
    <w:rPr>
      <w:sz w:val="20"/>
      <w:szCs w:val="20"/>
    </w:rPr>
  </w:style>
  <w:style w:type="character" w:customStyle="1" w:styleId="CommentTextChar">
    <w:name w:val="Comment Text Char"/>
    <w:basedOn w:val="DefaultParagraphFont"/>
    <w:link w:val="CommentText"/>
    <w:uiPriority w:val="99"/>
    <w:semiHidden/>
    <w:rsid w:val="00814FE9"/>
    <w:rPr>
      <w:sz w:val="20"/>
      <w:szCs w:val="20"/>
    </w:rPr>
  </w:style>
  <w:style w:type="paragraph" w:styleId="CommentSubject">
    <w:name w:val="annotation subject"/>
    <w:basedOn w:val="CommentText"/>
    <w:next w:val="CommentText"/>
    <w:link w:val="CommentSubjectChar"/>
    <w:uiPriority w:val="99"/>
    <w:semiHidden/>
    <w:unhideWhenUsed/>
    <w:rsid w:val="00814FE9"/>
    <w:rPr>
      <w:b/>
      <w:bCs/>
    </w:rPr>
  </w:style>
  <w:style w:type="character" w:customStyle="1" w:styleId="CommentSubjectChar">
    <w:name w:val="Comment Subject Char"/>
    <w:basedOn w:val="CommentTextChar"/>
    <w:link w:val="CommentSubject"/>
    <w:uiPriority w:val="99"/>
    <w:semiHidden/>
    <w:rsid w:val="00814FE9"/>
    <w:rPr>
      <w:b/>
      <w:bCs/>
      <w:sz w:val="20"/>
      <w:szCs w:val="20"/>
    </w:rPr>
  </w:style>
  <w:style w:type="paragraph" w:styleId="BalloonText">
    <w:name w:val="Balloon Text"/>
    <w:basedOn w:val="Normal"/>
    <w:link w:val="BalloonTextChar"/>
    <w:uiPriority w:val="99"/>
    <w:semiHidden/>
    <w:unhideWhenUsed/>
    <w:rsid w:val="0081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E9"/>
    <w:rPr>
      <w:rFonts w:ascii="Segoe UI" w:hAnsi="Segoe UI" w:cs="Segoe UI"/>
      <w:sz w:val="18"/>
      <w:szCs w:val="18"/>
    </w:rPr>
  </w:style>
  <w:style w:type="paragraph" w:styleId="Revision">
    <w:name w:val="Revision"/>
    <w:hidden/>
    <w:uiPriority w:val="99"/>
    <w:semiHidden/>
    <w:rsid w:val="00C70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3752">
      <w:bodyDiv w:val="1"/>
      <w:marLeft w:val="0"/>
      <w:marRight w:val="0"/>
      <w:marTop w:val="0"/>
      <w:marBottom w:val="0"/>
      <w:divBdr>
        <w:top w:val="none" w:sz="0" w:space="0" w:color="auto"/>
        <w:left w:val="none" w:sz="0" w:space="0" w:color="auto"/>
        <w:bottom w:val="none" w:sz="0" w:space="0" w:color="auto"/>
        <w:right w:val="none" w:sz="0" w:space="0" w:color="auto"/>
      </w:divBdr>
    </w:div>
    <w:div w:id="1620647178">
      <w:bodyDiv w:val="1"/>
      <w:marLeft w:val="0"/>
      <w:marRight w:val="0"/>
      <w:marTop w:val="0"/>
      <w:marBottom w:val="0"/>
      <w:divBdr>
        <w:top w:val="none" w:sz="0" w:space="0" w:color="auto"/>
        <w:left w:val="none" w:sz="0" w:space="0" w:color="auto"/>
        <w:bottom w:val="none" w:sz="0" w:space="0" w:color="auto"/>
        <w:right w:val="none" w:sz="0" w:space="0" w:color="auto"/>
      </w:divBdr>
      <w:divsChild>
        <w:div w:id="245967201">
          <w:marLeft w:val="0"/>
          <w:marRight w:val="0"/>
          <w:marTop w:val="0"/>
          <w:marBottom w:val="0"/>
          <w:divBdr>
            <w:top w:val="none" w:sz="0" w:space="0" w:color="auto"/>
            <w:left w:val="none" w:sz="0" w:space="0" w:color="auto"/>
            <w:bottom w:val="none" w:sz="0" w:space="0" w:color="auto"/>
            <w:right w:val="none" w:sz="0" w:space="0" w:color="auto"/>
          </w:divBdr>
        </w:div>
        <w:div w:id="96947241">
          <w:marLeft w:val="0"/>
          <w:marRight w:val="0"/>
          <w:marTop w:val="0"/>
          <w:marBottom w:val="0"/>
          <w:divBdr>
            <w:top w:val="none" w:sz="0" w:space="0" w:color="auto"/>
            <w:left w:val="none" w:sz="0" w:space="0" w:color="auto"/>
            <w:bottom w:val="none" w:sz="0" w:space="0" w:color="auto"/>
            <w:right w:val="none" w:sz="0" w:space="0" w:color="auto"/>
          </w:divBdr>
        </w:div>
        <w:div w:id="1324430361">
          <w:marLeft w:val="0"/>
          <w:marRight w:val="0"/>
          <w:marTop w:val="0"/>
          <w:marBottom w:val="0"/>
          <w:divBdr>
            <w:top w:val="none" w:sz="0" w:space="0" w:color="auto"/>
            <w:left w:val="none" w:sz="0" w:space="0" w:color="auto"/>
            <w:bottom w:val="none" w:sz="0" w:space="0" w:color="auto"/>
            <w:right w:val="none" w:sz="0" w:space="0" w:color="auto"/>
          </w:divBdr>
        </w:div>
        <w:div w:id="729812685">
          <w:marLeft w:val="0"/>
          <w:marRight w:val="0"/>
          <w:marTop w:val="0"/>
          <w:marBottom w:val="0"/>
          <w:divBdr>
            <w:top w:val="none" w:sz="0" w:space="0" w:color="auto"/>
            <w:left w:val="none" w:sz="0" w:space="0" w:color="auto"/>
            <w:bottom w:val="none" w:sz="0" w:space="0" w:color="auto"/>
            <w:right w:val="none" w:sz="0" w:space="0" w:color="auto"/>
          </w:divBdr>
        </w:div>
        <w:div w:id="1377580964">
          <w:marLeft w:val="0"/>
          <w:marRight w:val="0"/>
          <w:marTop w:val="0"/>
          <w:marBottom w:val="0"/>
          <w:divBdr>
            <w:top w:val="none" w:sz="0" w:space="0" w:color="auto"/>
            <w:left w:val="none" w:sz="0" w:space="0" w:color="auto"/>
            <w:bottom w:val="none" w:sz="0" w:space="0" w:color="auto"/>
            <w:right w:val="none" w:sz="0" w:space="0" w:color="auto"/>
          </w:divBdr>
        </w:div>
        <w:div w:id="711459548">
          <w:marLeft w:val="0"/>
          <w:marRight w:val="0"/>
          <w:marTop w:val="0"/>
          <w:marBottom w:val="0"/>
          <w:divBdr>
            <w:top w:val="none" w:sz="0" w:space="0" w:color="auto"/>
            <w:left w:val="none" w:sz="0" w:space="0" w:color="auto"/>
            <w:bottom w:val="none" w:sz="0" w:space="0" w:color="auto"/>
            <w:right w:val="none" w:sz="0" w:space="0" w:color="auto"/>
          </w:divBdr>
        </w:div>
        <w:div w:id="917321830">
          <w:marLeft w:val="0"/>
          <w:marRight w:val="0"/>
          <w:marTop w:val="0"/>
          <w:marBottom w:val="0"/>
          <w:divBdr>
            <w:top w:val="none" w:sz="0" w:space="0" w:color="auto"/>
            <w:left w:val="none" w:sz="0" w:space="0" w:color="auto"/>
            <w:bottom w:val="none" w:sz="0" w:space="0" w:color="auto"/>
            <w:right w:val="none" w:sz="0" w:space="0" w:color="auto"/>
          </w:divBdr>
        </w:div>
        <w:div w:id="694231181">
          <w:marLeft w:val="0"/>
          <w:marRight w:val="0"/>
          <w:marTop w:val="0"/>
          <w:marBottom w:val="0"/>
          <w:divBdr>
            <w:top w:val="none" w:sz="0" w:space="0" w:color="auto"/>
            <w:left w:val="none" w:sz="0" w:space="0" w:color="auto"/>
            <w:bottom w:val="none" w:sz="0" w:space="0" w:color="auto"/>
            <w:right w:val="none" w:sz="0" w:space="0" w:color="auto"/>
          </w:divBdr>
        </w:div>
      </w:divsChild>
    </w:div>
    <w:div w:id="20159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Stelling</dc:creator>
  <cp:keywords/>
  <dc:description/>
  <cp:lastModifiedBy>Pete Stelling</cp:lastModifiedBy>
  <cp:revision>2</cp:revision>
  <dcterms:created xsi:type="dcterms:W3CDTF">2019-05-30T17:25:00Z</dcterms:created>
  <dcterms:modified xsi:type="dcterms:W3CDTF">2019-05-30T17:25:00Z</dcterms:modified>
</cp:coreProperties>
</file>